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2935" w:rsidRPr="00B42935" w:rsidRDefault="00B42935" w:rsidP="00B42935">
      <w:pPr>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Royal Caribbean Cruises Ltd</w:t>
      </w:r>
    </w:p>
    <w:p w:rsidR="00B42935" w:rsidRPr="00B42935" w:rsidRDefault="00B42935">
      <w:pPr>
        <w:rPr>
          <w:rFonts w:ascii="Times New Roman" w:hAnsi="Times New Roman" w:cs="Times New Roman"/>
          <w:sz w:val="24"/>
          <w:szCs w:val="24"/>
        </w:rPr>
      </w:pPr>
      <w:r w:rsidRPr="00B42935">
        <w:rPr>
          <w:rFonts w:ascii="Times New Roman" w:hAnsi="Times New Roman" w:cs="Times New Roman"/>
          <w:sz w:val="24"/>
          <w:szCs w:val="24"/>
        </w:rPr>
        <w:t xml:space="preserve">COMPANY REPORT </w:t>
      </w:r>
    </w:p>
    <w:p w:rsidR="00B42935" w:rsidRPr="00B42935" w:rsidRDefault="00B42935">
      <w:pPr>
        <w:rPr>
          <w:rFonts w:ascii="Times New Roman" w:hAnsi="Times New Roman" w:cs="Times New Roman"/>
          <w:sz w:val="24"/>
          <w:szCs w:val="24"/>
        </w:rPr>
      </w:pPr>
      <w:r w:rsidRPr="00B42935">
        <w:rPr>
          <w:rFonts w:ascii="Times New Roman" w:hAnsi="Times New Roman" w:cs="Times New Roman"/>
          <w:sz w:val="24"/>
          <w:szCs w:val="24"/>
        </w:rPr>
        <w:t xml:space="preserve">Solidifying their position in the industry </w:t>
      </w:r>
    </w:p>
    <w:p w:rsidR="00B42935" w:rsidRPr="00B42935" w:rsidRDefault="00B42935">
      <w:pPr>
        <w:rPr>
          <w:rFonts w:ascii="Times New Roman" w:hAnsi="Times New Roman" w:cs="Times New Roman"/>
          <w:sz w:val="24"/>
          <w:szCs w:val="24"/>
        </w:rPr>
      </w:pPr>
      <w:r w:rsidRPr="00B42935">
        <w:rPr>
          <w:rFonts w:ascii="Times New Roman" w:hAnsi="Times New Roman" w:cs="Times New Roman"/>
          <w:sz w:val="24"/>
          <w:szCs w:val="24"/>
        </w:rPr>
        <w:t xml:space="preserve">▪ Projected valuation meets market’s current expectations. As of close of business on April 15, 1999 RCL was trading at $122.46. Our team’s valuation of $47.47 confirms that our forecasted cash flows align with the market’s expectations of the future value of the company. Therefore, our recommendation at this time is a HOLD rating for Royal Caribbean. </w:t>
      </w:r>
    </w:p>
    <w:p w:rsidR="00B42935" w:rsidRPr="00B42935" w:rsidRDefault="00B42935">
      <w:pPr>
        <w:rPr>
          <w:rFonts w:ascii="Times New Roman" w:hAnsi="Times New Roman" w:cs="Times New Roman"/>
          <w:sz w:val="24"/>
          <w:szCs w:val="24"/>
        </w:rPr>
      </w:pPr>
      <w:r w:rsidRPr="00B42935">
        <w:rPr>
          <w:rFonts w:ascii="Times New Roman" w:hAnsi="Times New Roman" w:cs="Times New Roman"/>
          <w:sz w:val="24"/>
          <w:szCs w:val="24"/>
        </w:rPr>
        <w:t xml:space="preserve">▪ RCL is the second most dynamic player in the industry. Following Norwegian Cruise Line’s net yield growth, RCL has shown steady growth increases in the past three years. Based on projected future capacity and historical trends, we assume a peak of 5% in the net yield growth in 2001 progressively tapering down to historical long-term average of 3%. </w:t>
      </w:r>
    </w:p>
    <w:p w:rsidR="00B42935" w:rsidRPr="00B42935" w:rsidRDefault="00B42935">
      <w:pPr>
        <w:rPr>
          <w:rFonts w:ascii="Times New Roman" w:hAnsi="Times New Roman" w:cs="Times New Roman"/>
          <w:sz w:val="24"/>
          <w:szCs w:val="24"/>
        </w:rPr>
      </w:pPr>
      <w:r w:rsidRPr="00B42935">
        <w:rPr>
          <w:rFonts w:ascii="Times New Roman" w:hAnsi="Times New Roman" w:cs="Times New Roman"/>
          <w:sz w:val="24"/>
          <w:szCs w:val="24"/>
        </w:rPr>
        <w:t xml:space="preserve">▪ RCL to imitate Norwegian’s long-run pricing strategies. As visible from historical trends, RCL has been progressively adjusting the revenue split between ticket and “onboard and other”, gradually increasing the proportion of onboard. In our forecast we assume that RCL will aim at a 70-30 split that has already proven profitable for Norwegian. </w:t>
      </w:r>
    </w:p>
    <w:p w:rsidR="00B42935" w:rsidRPr="00B42935" w:rsidRDefault="00B42935">
      <w:pPr>
        <w:rPr>
          <w:rFonts w:ascii="Times New Roman" w:hAnsi="Times New Roman" w:cs="Times New Roman"/>
          <w:sz w:val="24"/>
          <w:szCs w:val="24"/>
        </w:rPr>
      </w:pPr>
      <w:r w:rsidRPr="00B42935">
        <w:rPr>
          <w:rFonts w:ascii="Times New Roman" w:hAnsi="Times New Roman" w:cs="Times New Roman"/>
          <w:sz w:val="24"/>
          <w:szCs w:val="24"/>
        </w:rPr>
        <w:t>▪ Technological innovations in the onboard revenue system will improve RCL’s cost management. Recent data confirms that the integration of mobile IT in the booking and customer check-in systems will continue to generate cost reductions for RCL.</w:t>
      </w:r>
    </w:p>
    <w:p w:rsidR="00B42935" w:rsidRPr="00B42935" w:rsidRDefault="00B42935">
      <w:pPr>
        <w:rPr>
          <w:rFonts w:ascii="Times New Roman" w:hAnsi="Times New Roman" w:cs="Times New Roman"/>
          <w:b/>
          <w:sz w:val="24"/>
          <w:szCs w:val="24"/>
        </w:rPr>
      </w:pPr>
      <w:r w:rsidRPr="00B42935">
        <w:rPr>
          <w:rFonts w:ascii="Times New Roman" w:hAnsi="Times New Roman" w:cs="Times New Roman"/>
          <w:b/>
          <w:sz w:val="24"/>
          <w:szCs w:val="24"/>
        </w:rPr>
        <w:t>Free Cash Flow Calculation</w:t>
      </w:r>
    </w:p>
    <w:p w:rsidR="00B42935" w:rsidRPr="00B42935" w:rsidRDefault="00B42935">
      <w:pPr>
        <w:rPr>
          <w:rFonts w:ascii="Times New Roman" w:hAnsi="Times New Roman" w:cs="Times New Roman"/>
          <w:sz w:val="24"/>
          <w:szCs w:val="24"/>
        </w:rPr>
      </w:pPr>
      <w:r w:rsidRPr="00B42935">
        <w:rPr>
          <w:rFonts w:ascii="Times New Roman" w:hAnsi="Times New Roman" w:cs="Times New Roman"/>
          <w:sz w:val="24"/>
          <w:szCs w:val="24"/>
        </w:rPr>
        <w:t xml:space="preserve"> Given the nature of the cruise line industry, our team decided to analyze the free cash flows of RCL over a 10-year time horizon for which we estimate to be able to reliably provide forecasts. Figure 1 below summarizes our assumptions for each component of the free cash flow projections. For each line item, the numbers in blue correspond to our line item forecast below based on the specific driver listed in the left column.</w:t>
      </w:r>
    </w:p>
    <w:p w:rsidR="00B42935" w:rsidRPr="00B42935" w:rsidRDefault="00B42935">
      <w:pPr>
        <w:rPr>
          <w:rFonts w:ascii="Times New Roman" w:hAnsi="Times New Roman" w:cs="Times New Roman"/>
          <w:sz w:val="24"/>
          <w:szCs w:val="24"/>
        </w:rPr>
      </w:pPr>
    </w:p>
    <w:sectPr w:rsidR="00B42935" w:rsidRPr="00B429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2935"/>
    <w:rsid w:val="00B42935"/>
    <w:rsid w:val="00E820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275</Words>
  <Characters>1571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Loiz</dc:creator>
  <cp:lastModifiedBy>Kamande</cp:lastModifiedBy>
  <cp:revision>2</cp:revision>
  <dcterms:created xsi:type="dcterms:W3CDTF">2020-01-15T17:51:00Z</dcterms:created>
  <dcterms:modified xsi:type="dcterms:W3CDTF">2020-01-15T17:51:00Z</dcterms:modified>
</cp:coreProperties>
</file>